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5012" w14:textId="36C2E574" w:rsidR="006167D0" w:rsidRPr="007042FB" w:rsidRDefault="006167D0" w:rsidP="006167D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Review Article Structure</w:t>
      </w:r>
    </w:p>
    <w:p w14:paraId="6DA9CF0A" w14:textId="3184180C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Concise Review: ≤ 8,000 words</w:t>
      </w:r>
    </w:p>
    <w:p w14:paraId="7D0A8017" w14:textId="1A1E4BC3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Comprehensive Review: 8,000–15,000 words (excluding references, tables, and figures)</w:t>
      </w:r>
    </w:p>
    <w:p w14:paraId="4D47DAD2" w14:textId="4A2F2865" w:rsidR="006167D0" w:rsidRPr="007042FB" w:rsidRDefault="006167D0" w:rsidP="006167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Abstract</w:t>
      </w:r>
    </w:p>
    <w:p w14:paraId="6F49056C" w14:textId="3D8D68EB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Recommended length: 200–250 words</w:t>
      </w:r>
    </w:p>
    <w:p w14:paraId="4CCEC4D6" w14:textId="699113EB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Scope, objectives, literature search strategy, key findings, and conclusions.</w:t>
      </w:r>
    </w:p>
    <w:p w14:paraId="54995D5D" w14:textId="4412B62A" w:rsidR="006167D0" w:rsidRPr="007042FB" w:rsidRDefault="006167D0" w:rsidP="006167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Introduction</w:t>
      </w:r>
    </w:p>
    <w:p w14:paraId="772D7144" w14:textId="08705237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Recommended length: 800–1,200 words</w:t>
      </w:r>
    </w:p>
    <w:p w14:paraId="53270FD2" w14:textId="188A6036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Background, significance, objectives, and scope of the review.</w:t>
      </w:r>
    </w:p>
    <w:p w14:paraId="617F58DA" w14:textId="7D8F5F80" w:rsidR="006167D0" w:rsidRPr="007042FB" w:rsidRDefault="006167D0" w:rsidP="006167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Review of Literature</w:t>
      </w:r>
    </w:p>
    <w:p w14:paraId="7A6B38D6" w14:textId="2D0FAF7C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Recommended length: 5,000–10,000 words</w:t>
      </w:r>
    </w:p>
    <w:p w14:paraId="3907C163" w14:textId="4432BC99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Critical and thematic evaluation of published studies with appropriate subheadings.</w:t>
      </w:r>
    </w:p>
    <w:p w14:paraId="0E635C8C" w14:textId="16A2DE3A" w:rsidR="006167D0" w:rsidRPr="007042FB" w:rsidRDefault="006167D0" w:rsidP="006167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Research Gaps and Future Perspectives</w:t>
      </w:r>
    </w:p>
    <w:p w14:paraId="42DF527B" w14:textId="2C61E8A5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Recommended length: 500–1,000 words</w:t>
      </w:r>
    </w:p>
    <w:p w14:paraId="29266F52" w14:textId="10B3C055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Identification of unresolved issues and future directions.</w:t>
      </w:r>
    </w:p>
    <w:p w14:paraId="2996C9D7" w14:textId="15CAE6C5" w:rsidR="006167D0" w:rsidRPr="007042FB" w:rsidRDefault="006167D0" w:rsidP="006167D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042FB">
        <w:rPr>
          <w:rFonts w:ascii="Times New Roman" w:hAnsi="Times New Roman" w:cs="Times New Roman"/>
          <w:b/>
          <w:bCs/>
        </w:rPr>
        <w:t>Conclusion</w:t>
      </w:r>
    </w:p>
    <w:p w14:paraId="1B499A50" w14:textId="0CDD0615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Recommended length: 200–400 words</w:t>
      </w:r>
    </w:p>
    <w:p w14:paraId="71B1B890" w14:textId="77777777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  <w:r w:rsidRPr="006167D0">
        <w:rPr>
          <w:rFonts w:ascii="Times New Roman" w:hAnsi="Times New Roman" w:cs="Times New Roman"/>
        </w:rPr>
        <w:t>Summary of major insights and scientific implications.</w:t>
      </w:r>
    </w:p>
    <w:p w14:paraId="4A0273C8" w14:textId="77777777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</w:p>
    <w:p w14:paraId="337CB861" w14:textId="77777777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</w:p>
    <w:p w14:paraId="688630C0" w14:textId="77777777" w:rsidR="006167D0" w:rsidRPr="006167D0" w:rsidRDefault="006167D0" w:rsidP="006167D0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167D0" w:rsidRPr="00616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0DB6"/>
    <w:multiLevelType w:val="hybridMultilevel"/>
    <w:tmpl w:val="23560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76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D0"/>
    <w:rsid w:val="004269E7"/>
    <w:rsid w:val="006167D0"/>
    <w:rsid w:val="0070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7F7DB"/>
  <w15:chartTrackingRefBased/>
  <w15:docId w15:val="{8C87549D-62AF-DA4C-B530-9B9CAD20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7D0"/>
    <w:rPr>
      <w:rFonts w:cs="Lath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7D0"/>
    <w:rPr>
      <w:rFonts w:cs="Lath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7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Akshaya Lakshmi</dc:creator>
  <cp:keywords/>
  <dc:description/>
  <cp:lastModifiedBy>Akshaya Lakshmi</cp:lastModifiedBy>
  <cp:revision>2</cp:revision>
  <dcterms:created xsi:type="dcterms:W3CDTF">2026-06-17T02:34:00Z</dcterms:created>
  <dcterms:modified xsi:type="dcterms:W3CDTF">2026-06-17T02:34:00Z</dcterms:modified>
</cp:coreProperties>
</file>